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207BE79E"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650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Der Kombi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Click-Verschluss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53B4C93C"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Pr>
          <w:rFonts w:ascii="Arial" w:hAnsi="Arial" w:cs="Arial"/>
          <w:lang w:val="de-DE"/>
        </w:rPr>
        <w:t>2.400</w:t>
      </w:r>
      <w:r>
        <w:rPr>
          <w:rFonts w:ascii="Arial" w:hAnsi="Arial" w:cs="Arial"/>
          <w:lang w:val="de-DE"/>
        </w:rPr>
        <w:t xml:space="preserve">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w:t>
      </w:r>
      <w:r>
        <w:rPr>
          <w:rFonts w:ascii="Arial" w:hAnsi="Arial" w:cs="Arial"/>
          <w:lang w:val="de-DE"/>
        </w:rPr>
        <w:t>optional erhältlichen Sauglanzen</w:t>
      </w:r>
      <w:r>
        <w:rPr>
          <w:rFonts w:ascii="Arial" w:hAnsi="Arial" w:cs="Arial"/>
          <w:lang w:val="de-DE"/>
        </w:rPr>
        <w:t xml:space="preserve">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w:t>
      </w:r>
      <w:r>
        <w:rPr>
          <w:rFonts w:ascii="Arial" w:hAnsi="Arial" w:cs="Arial"/>
          <w:lang w:val="de-DE"/>
        </w:rPr>
        <w:lastRenderedPageBreak/>
        <w:t xml:space="preserve">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w:t>
      </w:r>
      <w:proofErr w:type="spellStart"/>
      <w:r w:rsidR="0072233F">
        <w:rPr>
          <w:rFonts w:ascii="Arial" w:hAnsi="Arial" w:cs="Arial"/>
          <w:lang w:val="de-DE"/>
        </w:rPr>
        <w:t>Spülgut</w:t>
      </w:r>
      <w:proofErr w:type="spellEnd"/>
      <w:r w:rsidR="0072233F">
        <w:rPr>
          <w:rFonts w:ascii="Arial" w:hAnsi="Arial" w:cs="Arial"/>
          <w:lang w:val="de-DE"/>
        </w:rPr>
        <w:t xml:space="preserve"> ausgelegt sein. </w:t>
      </w:r>
    </w:p>
    <w:p w14:paraId="6877F1A1" w14:textId="0D52969E"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1CDDB917" w:rsidR="00FF3A33" w:rsidRDefault="00FF3A33"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2AFB6258" w:rsidR="00595FD0" w:rsidRDefault="0072233F" w:rsidP="008D7BB0">
            <w:pPr>
              <w:pStyle w:val="KeinLeerraum"/>
              <w:rPr>
                <w:rFonts w:ascii="Arial" w:hAnsi="Arial" w:cs="Arial"/>
                <w:lang w:val="de-DE"/>
              </w:rPr>
            </w:pPr>
            <w:r>
              <w:rPr>
                <w:rFonts w:ascii="Arial" w:hAnsi="Arial" w:cs="Arial"/>
                <w:lang w:val="de-DE"/>
              </w:rPr>
              <w:t>1727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308217E0" w:rsidR="0072233F" w:rsidRDefault="0072233F" w:rsidP="008D7BB0">
            <w:pPr>
              <w:pStyle w:val="KeinLeerraum"/>
              <w:rPr>
                <w:rFonts w:ascii="Arial" w:hAnsi="Arial" w:cs="Arial"/>
                <w:lang w:val="de-DE"/>
              </w:rPr>
            </w:pPr>
            <w:r>
              <w:rPr>
                <w:rFonts w:ascii="Arial" w:hAnsi="Arial" w:cs="Arial"/>
                <w:lang w:val="de-DE"/>
              </w:rPr>
              <w:t>1997</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7A2FDE7" w:rsidR="00595FD0" w:rsidRDefault="0072233F" w:rsidP="008D7BB0">
            <w:pPr>
              <w:pStyle w:val="KeinLeerraum"/>
              <w:rPr>
                <w:rFonts w:ascii="Arial" w:hAnsi="Arial" w:cs="Arial"/>
                <w:lang w:val="de-DE"/>
              </w:rPr>
            </w:pPr>
            <w:r>
              <w:rPr>
                <w:rFonts w:ascii="Arial" w:hAnsi="Arial" w:cs="Arial"/>
                <w:lang w:val="de-DE"/>
              </w:rPr>
              <w:t>650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77777777" w:rsidR="00FF3A33" w:rsidRDefault="00FF3A33"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w:t>
            </w:r>
            <w:r>
              <w:rPr>
                <w:rFonts w:ascii="Arial" w:hAnsi="Arial" w:cs="Arial"/>
                <w:lang w:val="de-DE"/>
              </w:rPr>
              <w:t>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lastRenderedPageBreak/>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2AAE5021" w14:textId="77777777" w:rsidTr="00C60758">
        <w:tc>
          <w:tcPr>
            <w:tcW w:w="4597" w:type="dxa"/>
          </w:tcPr>
          <w:p w14:paraId="76839621" w14:textId="7F552D00" w:rsidR="00146CA9" w:rsidRDefault="00146CA9" w:rsidP="00146CA9">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ED6A079" w14:textId="77777777" w:rsidTr="00C60758">
        <w:tc>
          <w:tcPr>
            <w:tcW w:w="4597" w:type="dxa"/>
          </w:tcPr>
          <w:p w14:paraId="1DA82DF7" w14:textId="0070EA9C" w:rsidR="00146CA9" w:rsidRDefault="00146CA9" w:rsidP="00146CA9">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3B9300" w14:textId="77777777" w:rsidTr="00C60758">
        <w:tc>
          <w:tcPr>
            <w:tcW w:w="4597" w:type="dxa"/>
          </w:tcPr>
          <w:p w14:paraId="601C353C" w14:textId="7CBD08B6" w:rsidR="00146CA9" w:rsidRDefault="00146CA9" w:rsidP="00146CA9">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2621</Words>
  <Characters>16514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15</cp:revision>
  <cp:lastPrinted>2019-12-06T11:44:00Z</cp:lastPrinted>
  <dcterms:created xsi:type="dcterms:W3CDTF">2019-12-05T15:29:00Z</dcterms:created>
  <dcterms:modified xsi:type="dcterms:W3CDTF">2021-07-08T09:52:00Z</dcterms:modified>
</cp:coreProperties>
</file>