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4A31EBB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proofErr w:type="spellStart"/>
      <w:r w:rsidR="00917046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="00917046">
        <w:rPr>
          <w:rFonts w:ascii="Arial" w:hAnsi="Arial" w:cs="Arial"/>
          <w:sz w:val="22"/>
          <w:szCs w:val="22"/>
          <w:lang w:val="de-DE"/>
        </w:rPr>
        <w:t xml:space="preserve"> 48-43 GD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8240" behindDoc="1" locked="0" layoutInCell="1" allowOverlap="1" wp14:anchorId="79BE1353" wp14:editId="51C198E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782C6F38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>
        <w:rPr>
          <w:rFonts w:ascii="Arial" w:hAnsi="Arial" w:cs="Arial"/>
          <w:b/>
          <w:bCs/>
          <w:lang w:val="de-DE"/>
        </w:rPr>
        <w:t xml:space="preserve"> 48-43 GD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60 Körbe/h oder 1250 Gläser/h / 1080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5BB3A9D5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N52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CDGACD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011C0D4C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D47719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6090DC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ProSoft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Sanftanlauf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ProSoft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 xml:space="preserve"> passt die Pumpenleistung zu Beginn intelligent an – für einen geschützten Start, optimierte Wasserverteilung und weniger Dampfschwaden. Voller Einsatz erst, wenn es wirklich nötig ist – nach rund 15 Sekunden. Ideal für empfindliches </w:t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Inspect</w:t>
      </w:r>
      <w:proofErr w:type="spellEnd"/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Spülraum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727FA01A" w14:textId="77777777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13C98648" w14:textId="77777777" w:rsidR="008F1423" w:rsidRDefault="008F1423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60901D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5794F34F" w14:textId="086B9076" w:rsidR="0037145D" w:rsidRDefault="0037145D" w:rsidP="0037145D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6AE7EB5E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B66684">
        <w:rPr>
          <w:rFonts w:ascii="Arial" w:hAnsi="Arial" w:cs="Arial"/>
          <w:sz w:val="22"/>
          <w:szCs w:val="22"/>
          <w:lang w:val="de-DE"/>
        </w:rPr>
        <w:t>9,7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oder </w:t>
      </w:r>
      <w:r w:rsidR="00B66684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,7 kW –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speziell entwickeltem Korb für bis zu acht Flaschen und integrierten Düsen ersetzt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gezielte Tiefenreinigung. Vorinstallierte Programme sorgen für sichere Hygiene – effizient, zuverlässig und optional erhältlich.</w:t>
      </w:r>
    </w:p>
    <w:p w14:paraId="39E61696" w14:textId="77777777" w:rsidR="0009320E" w:rsidRDefault="0009320E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A117F9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A117F9">
        <w:rPr>
          <w:rFonts w:ascii="Arial" w:hAnsi="Arial" w:cs="Arial"/>
          <w:sz w:val="22"/>
          <w:szCs w:val="22"/>
          <w:lang w:val="de-DE"/>
        </w:rPr>
        <w:t xml:space="preserve">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C35A266" w14:textId="6CA512A6" w:rsidR="00E80C7B" w:rsidRDefault="002B0BE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</w:p>
    <w:p w14:paraId="74A965A1" w14:textId="77777777" w:rsidR="00FC1612" w:rsidRPr="002B0BE8" w:rsidRDefault="00FC161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Haubenöffnung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5D691787" w14:textId="560ECD29" w:rsidR="00E80C7B" w:rsidRPr="00E72012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E4100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DFFB1D" w14:textId="46998D0D" w:rsidR="008731DB" w:rsidRPr="00CF516D" w:rsidRDefault="00630E95" w:rsidP="008731D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622BD63E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2B380A" w14:textId="77777777" w:rsidR="002818C3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BFEFC40" w14:textId="77777777" w:rsidR="008F1423" w:rsidRDefault="008F142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3E5D98" w14:textId="77777777" w:rsidR="008F1423" w:rsidRDefault="008F142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E3FD056" w14:textId="77777777" w:rsidR="008F1423" w:rsidRDefault="008F142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CA16FAC" w14:textId="77777777" w:rsidR="008F1423" w:rsidRPr="00E72012" w:rsidRDefault="008F142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DDC6C6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C5B08D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1.590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2.090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5C5309C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8F4268" w:rsidRPr="00E72012" w14:paraId="0D467A97" w14:textId="77777777" w:rsidTr="0070101F">
        <w:tc>
          <w:tcPr>
            <w:tcW w:w="4811" w:type="dxa"/>
          </w:tcPr>
          <w:p w14:paraId="45147625" w14:textId="3FF5BAF0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3D053EC9" w14:textId="3A04E20D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Sek.</w:t>
            </w:r>
          </w:p>
        </w:tc>
      </w:tr>
      <w:tr w:rsidR="008F4268" w:rsidRPr="00E72012" w14:paraId="2334D4B2" w14:textId="77777777" w:rsidTr="0070101F">
        <w:tc>
          <w:tcPr>
            <w:tcW w:w="4811" w:type="dxa"/>
          </w:tcPr>
          <w:p w14:paraId="071A5D81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35BE12FD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8F4268" w:rsidRPr="00E72012" w14:paraId="0A0F8F88" w14:textId="77777777" w:rsidTr="0070101F">
        <w:tc>
          <w:tcPr>
            <w:tcW w:w="4811" w:type="dxa"/>
          </w:tcPr>
          <w:p w14:paraId="3CD06FAE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bis zu 60 Körbe / h oder 1250 Gläser / h /</w:t>
            </w:r>
          </w:p>
          <w:p w14:paraId="3099744E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1080 Teller / h</w:t>
            </w:r>
          </w:p>
        </w:tc>
      </w:tr>
      <w:tr w:rsidR="008F4268" w:rsidRPr="00E72012" w14:paraId="2EB9A78D" w14:textId="77777777" w:rsidTr="0070101F">
        <w:tc>
          <w:tcPr>
            <w:tcW w:w="4811" w:type="dxa"/>
          </w:tcPr>
          <w:p w14:paraId="12021AEB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8F4268" w:rsidRPr="00E72012" w14:paraId="0860055D" w14:textId="77777777" w:rsidTr="0070101F">
        <w:tc>
          <w:tcPr>
            <w:tcW w:w="4811" w:type="dxa"/>
          </w:tcPr>
          <w:p w14:paraId="235D8698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8F4268" w:rsidRPr="00E72012" w14:paraId="081CAD1E" w14:textId="77777777" w:rsidTr="0070101F">
        <w:tc>
          <w:tcPr>
            <w:tcW w:w="4811" w:type="dxa"/>
          </w:tcPr>
          <w:p w14:paraId="66BA64C0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8F4268" w:rsidRPr="00E72012" w14:paraId="6334B166" w14:textId="77777777" w:rsidTr="0070101F">
        <w:tc>
          <w:tcPr>
            <w:tcW w:w="4811" w:type="dxa"/>
          </w:tcPr>
          <w:p w14:paraId="4F29FEEF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8F4268" w:rsidRPr="00E72012" w14:paraId="30939A7D" w14:textId="77777777" w:rsidTr="0070101F">
        <w:tc>
          <w:tcPr>
            <w:tcW w:w="4811" w:type="dxa"/>
          </w:tcPr>
          <w:p w14:paraId="778672D0" w14:textId="77777777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497CCCE5" w:rsidR="008F4268" w:rsidRPr="00E72012" w:rsidRDefault="008F4268" w:rsidP="008F426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3F0B21" w:rsidRPr="00E72012" w14:paraId="2ABDA364" w14:textId="77777777" w:rsidTr="0070101F">
        <w:tc>
          <w:tcPr>
            <w:tcW w:w="4811" w:type="dxa"/>
          </w:tcPr>
          <w:p w14:paraId="01F39846" w14:textId="4A1232AA" w:rsidR="003F0B21" w:rsidRPr="00E72012" w:rsidRDefault="003F0B21" w:rsidP="003F0B21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792565C1" w14:textId="372E7714" w:rsidR="003F0B21" w:rsidRPr="00E72012" w:rsidRDefault="003F0B21" w:rsidP="003F0B21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52061DD6" w14:textId="77777777" w:rsidR="008731DB" w:rsidRPr="00E72012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2CEF683D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F355B2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7BFCDA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9,7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(Multipower)</w:t>
            </w:r>
          </w:p>
        </w:tc>
        <w:tc>
          <w:tcPr>
            <w:tcW w:w="4811" w:type="dxa"/>
          </w:tcPr>
          <w:p w14:paraId="7DA8EBBB" w14:textId="14D2D58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,7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0,7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7EAA9B8A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4262B21" w14:textId="77777777" w:rsidR="003F0B21" w:rsidRDefault="003F0B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5F2A16D" w14:textId="77777777" w:rsidR="003F0B21" w:rsidRDefault="003F0B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0F41DE" w14:textId="77777777" w:rsidR="003F0B21" w:rsidRDefault="003F0B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7337BE" w14:textId="77777777" w:rsidR="003F0B21" w:rsidRDefault="003F0B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4B9606" w14:textId="77777777" w:rsidR="003F0B21" w:rsidRDefault="003F0B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D45F10D" w14:textId="77777777" w:rsidR="003F0B21" w:rsidRPr="00E72012" w:rsidRDefault="003F0B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1,1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1,6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59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1282298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6B6196E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4283F183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458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99,9%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0,1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pt</w:t>
            </w:r>
            <w:proofErr w:type="spellEnd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6B92E10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29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3B7B22E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54F9BB23" w:rsidR="00E80C7B" w:rsidRPr="00E72012" w:rsidRDefault="007E461F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229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0E7C7B3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0472" w14:textId="77777777" w:rsidR="003860C7" w:rsidRDefault="003860C7" w:rsidP="00E93542">
      <w:r>
        <w:separator/>
      </w:r>
    </w:p>
  </w:endnote>
  <w:endnote w:type="continuationSeparator" w:id="0">
    <w:p w14:paraId="55FC3241" w14:textId="77777777" w:rsidR="003860C7" w:rsidRDefault="003860C7" w:rsidP="00E93542">
      <w:r>
        <w:continuationSeparator/>
      </w:r>
    </w:p>
  </w:endnote>
  <w:endnote w:type="continuationNotice" w:id="1">
    <w:p w14:paraId="09457D6A" w14:textId="77777777" w:rsidR="0009320E" w:rsidRDefault="00093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B77B" w14:textId="77777777" w:rsidR="003860C7" w:rsidRDefault="003860C7" w:rsidP="00E93542">
      <w:r>
        <w:separator/>
      </w:r>
    </w:p>
  </w:footnote>
  <w:footnote w:type="continuationSeparator" w:id="0">
    <w:p w14:paraId="112EE191" w14:textId="77777777" w:rsidR="003860C7" w:rsidRDefault="003860C7" w:rsidP="00E93542">
      <w:r>
        <w:continuationSeparator/>
      </w:r>
    </w:p>
  </w:footnote>
  <w:footnote w:type="continuationNotice" w:id="1">
    <w:p w14:paraId="23B4D50B" w14:textId="77777777" w:rsidR="0009320E" w:rsidRDefault="00093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9320E"/>
    <w:rsid w:val="000A05CB"/>
    <w:rsid w:val="000A2ED9"/>
    <w:rsid w:val="000A311A"/>
    <w:rsid w:val="000A37CE"/>
    <w:rsid w:val="000C62CA"/>
    <w:rsid w:val="000D0C8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37BA1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F025F"/>
    <w:rsid w:val="001F2131"/>
    <w:rsid w:val="0020014C"/>
    <w:rsid w:val="00216654"/>
    <w:rsid w:val="00216E9D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818C3"/>
    <w:rsid w:val="00291906"/>
    <w:rsid w:val="0029358D"/>
    <w:rsid w:val="00296713"/>
    <w:rsid w:val="002A33A7"/>
    <w:rsid w:val="002A46E0"/>
    <w:rsid w:val="002A507E"/>
    <w:rsid w:val="002B0BE8"/>
    <w:rsid w:val="002C76AE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7967"/>
    <w:rsid w:val="00341A06"/>
    <w:rsid w:val="0034265D"/>
    <w:rsid w:val="003435BE"/>
    <w:rsid w:val="00345FFD"/>
    <w:rsid w:val="00351B30"/>
    <w:rsid w:val="00352929"/>
    <w:rsid w:val="00352A97"/>
    <w:rsid w:val="00367193"/>
    <w:rsid w:val="0037145D"/>
    <w:rsid w:val="003758C6"/>
    <w:rsid w:val="00376176"/>
    <w:rsid w:val="00384C3C"/>
    <w:rsid w:val="003860C7"/>
    <w:rsid w:val="00386682"/>
    <w:rsid w:val="00396016"/>
    <w:rsid w:val="003970C7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0B21"/>
    <w:rsid w:val="003F1455"/>
    <w:rsid w:val="00400304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2BBF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1106"/>
    <w:rsid w:val="004B591B"/>
    <w:rsid w:val="004C1837"/>
    <w:rsid w:val="004C3772"/>
    <w:rsid w:val="004C48BE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BE9"/>
    <w:rsid w:val="006B4EFC"/>
    <w:rsid w:val="006B529D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D3073"/>
    <w:rsid w:val="007D7E28"/>
    <w:rsid w:val="007E32A2"/>
    <w:rsid w:val="007E3C82"/>
    <w:rsid w:val="007E461F"/>
    <w:rsid w:val="007F7869"/>
    <w:rsid w:val="008010ED"/>
    <w:rsid w:val="00807CF2"/>
    <w:rsid w:val="00815E17"/>
    <w:rsid w:val="00817A6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809F6"/>
    <w:rsid w:val="00891911"/>
    <w:rsid w:val="00891DCB"/>
    <w:rsid w:val="0089325C"/>
    <w:rsid w:val="008974D2"/>
    <w:rsid w:val="008A62FB"/>
    <w:rsid w:val="008B66BE"/>
    <w:rsid w:val="008B6D89"/>
    <w:rsid w:val="008C6CD7"/>
    <w:rsid w:val="008C7C69"/>
    <w:rsid w:val="008D2EEA"/>
    <w:rsid w:val="008E260D"/>
    <w:rsid w:val="008F1423"/>
    <w:rsid w:val="008F4268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3098E"/>
    <w:rsid w:val="009450C2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808F9"/>
    <w:rsid w:val="00A959BB"/>
    <w:rsid w:val="00AA582D"/>
    <w:rsid w:val="00AA5C84"/>
    <w:rsid w:val="00AB0869"/>
    <w:rsid w:val="00AB12CB"/>
    <w:rsid w:val="00AB2FBA"/>
    <w:rsid w:val="00AC349B"/>
    <w:rsid w:val="00AC7FB4"/>
    <w:rsid w:val="00AD1B0F"/>
    <w:rsid w:val="00AD706C"/>
    <w:rsid w:val="00B050D0"/>
    <w:rsid w:val="00B05841"/>
    <w:rsid w:val="00B214A9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52E11"/>
    <w:rsid w:val="00B665F3"/>
    <w:rsid w:val="00B66684"/>
    <w:rsid w:val="00B67225"/>
    <w:rsid w:val="00B72EBB"/>
    <w:rsid w:val="00B74D9E"/>
    <w:rsid w:val="00B82B84"/>
    <w:rsid w:val="00B87CC6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CFD"/>
    <w:rsid w:val="00C8088C"/>
    <w:rsid w:val="00C8228D"/>
    <w:rsid w:val="00C92B5A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34358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49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0011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724"/>
    <w:rsid w:val="00F02080"/>
    <w:rsid w:val="00F06933"/>
    <w:rsid w:val="00F075D2"/>
    <w:rsid w:val="00F10B9B"/>
    <w:rsid w:val="00F146D1"/>
    <w:rsid w:val="00F25F22"/>
    <w:rsid w:val="00F30C8A"/>
    <w:rsid w:val="00F30CA1"/>
    <w:rsid w:val="00F31F92"/>
    <w:rsid w:val="00F355B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47BE"/>
    <w:rsid w:val="00FA5644"/>
    <w:rsid w:val="00FA7011"/>
    <w:rsid w:val="00FA74C1"/>
    <w:rsid w:val="00FB6168"/>
    <w:rsid w:val="00FC161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2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B1115-1E4B-482A-AB7E-D04D197EE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122</cp:revision>
  <cp:lastPrinted>2025-02-11T14:12:00Z</cp:lastPrinted>
  <dcterms:created xsi:type="dcterms:W3CDTF">2025-02-11T13:45:00Z</dcterms:created>
  <dcterms:modified xsi:type="dcterms:W3CDTF">2025-06-03T08:29:00Z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